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FEA7" w14:textId="1BB60D36" w:rsidR="0052323C" w:rsidRDefault="0052323C" w:rsidP="0052323C">
      <w:pPr>
        <w:pStyle w:val="Nzev"/>
        <w:rPr>
          <w:b/>
          <w:bCs/>
        </w:rPr>
      </w:pPr>
      <w:r w:rsidRPr="0052323C">
        <w:rPr>
          <w:b/>
          <w:bCs/>
        </w:rPr>
        <w:t>Obecní knihovna Kájov – ceník</w:t>
      </w:r>
      <w:r>
        <w:rPr>
          <w:b/>
          <w:bCs/>
        </w:rPr>
        <w:t xml:space="preserve"> služeb</w:t>
      </w:r>
    </w:p>
    <w:p w14:paraId="62F627AD" w14:textId="181095F4" w:rsidR="0052323C" w:rsidRDefault="0052323C" w:rsidP="0052323C">
      <w:bookmarkStart w:id="0" w:name="_GoBack"/>
      <w:bookmarkEnd w:id="0"/>
    </w:p>
    <w:p w14:paraId="4F557633" w14:textId="73693881" w:rsidR="00386D9E" w:rsidRPr="0052323C" w:rsidRDefault="00386D9E" w:rsidP="0052323C">
      <w:r>
        <w:t xml:space="preserve">Půjčování knih registrovaným čtenářům je zdarma, platí se pouze za roční registraci. Rokem se rozumí časové období 365 dní od zaplacení registrace. Tato se </w:t>
      </w:r>
      <w:r>
        <w:t>každý rok</w:t>
      </w:r>
      <w:r>
        <w:t xml:space="preserve"> obnovuje. Od poplatku za registraci jsou osvobozeni někteří čtenáři – viz níže. </w:t>
      </w:r>
    </w:p>
    <w:p w14:paraId="608D84F3" w14:textId="099CBB59" w:rsidR="00F85311" w:rsidRPr="0052323C" w:rsidRDefault="00F85311" w:rsidP="00035913">
      <w:pPr>
        <w:rPr>
          <w:b/>
          <w:bCs/>
          <w:sz w:val="28"/>
          <w:szCs w:val="28"/>
        </w:rPr>
      </w:pPr>
      <w:r w:rsidRPr="0052323C">
        <w:rPr>
          <w:b/>
          <w:bCs/>
          <w:sz w:val="28"/>
          <w:szCs w:val="28"/>
        </w:rPr>
        <w:t xml:space="preserve">Jednorázový </w:t>
      </w:r>
      <w:r w:rsidR="00C37AA3" w:rsidRPr="0052323C">
        <w:rPr>
          <w:b/>
          <w:bCs/>
          <w:sz w:val="28"/>
          <w:szCs w:val="28"/>
        </w:rPr>
        <w:t xml:space="preserve">registrační </w:t>
      </w:r>
      <w:r w:rsidRPr="0052323C">
        <w:rPr>
          <w:b/>
          <w:bCs/>
          <w:sz w:val="28"/>
          <w:szCs w:val="28"/>
        </w:rPr>
        <w:t>poplatek</w:t>
      </w:r>
      <w:r w:rsidR="00F94F38" w:rsidRPr="0052323C">
        <w:rPr>
          <w:b/>
          <w:bCs/>
          <w:sz w:val="28"/>
          <w:szCs w:val="28"/>
        </w:rPr>
        <w:t xml:space="preserve"> do Obecní knihovny Kájov</w:t>
      </w:r>
      <w:r w:rsidRPr="0052323C">
        <w:rPr>
          <w:b/>
          <w:bCs/>
          <w:sz w:val="28"/>
          <w:szCs w:val="28"/>
        </w:rPr>
        <w:t xml:space="preserve"> na 1 rok</w:t>
      </w:r>
    </w:p>
    <w:tbl>
      <w:tblPr>
        <w:tblW w:w="9631" w:type="dxa"/>
        <w:tblCellSpacing w:w="0" w:type="dxa"/>
        <w:tblBorders>
          <w:top w:val="single" w:sz="6" w:space="0" w:color="E4E4CB"/>
          <w:left w:val="single" w:sz="6" w:space="0" w:color="E4E4CB"/>
          <w:bottom w:val="single" w:sz="6" w:space="0" w:color="E4E4CB"/>
          <w:right w:val="single" w:sz="6" w:space="0" w:color="E4E4CB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73"/>
        <w:gridCol w:w="2258"/>
      </w:tblGrid>
      <w:tr w:rsidR="00C37AA3" w:rsidRPr="00035913" w14:paraId="7770A418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324FA5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Dospělí registrovaní uživatelé</w:t>
            </w:r>
          </w:p>
        </w:tc>
        <w:tc>
          <w:tcPr>
            <w:tcW w:w="2243" w:type="dxa"/>
            <w:shd w:val="clear" w:color="auto" w:fill="FFFFFF"/>
            <w:noWrap/>
            <w:vAlign w:val="center"/>
            <w:hideMark/>
          </w:tcPr>
          <w:p w14:paraId="15263FF7" w14:textId="082833D6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50 Kč</w:t>
            </w:r>
          </w:p>
        </w:tc>
      </w:tr>
      <w:tr w:rsidR="00C37AA3" w:rsidRPr="00035913" w14:paraId="6CE7C124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375423DB" w14:textId="2DC396C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Děti </w:t>
            </w:r>
            <w:r w:rsidR="00C37AA3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od 3. třídy </w:t>
            </w: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do 15 let, studenti, důchodci</w:t>
            </w:r>
          </w:p>
        </w:tc>
        <w:tc>
          <w:tcPr>
            <w:tcW w:w="2243" w:type="dxa"/>
            <w:shd w:val="clear" w:color="auto" w:fill="F8F8EF"/>
            <w:noWrap/>
            <w:vAlign w:val="center"/>
            <w:hideMark/>
          </w:tcPr>
          <w:p w14:paraId="31F05B35" w14:textId="144C2614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25 Kč</w:t>
            </w:r>
          </w:p>
        </w:tc>
      </w:tr>
      <w:tr w:rsidR="00C37AA3" w:rsidRPr="00035913" w14:paraId="309DCA6B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E96776" w14:textId="7A8DD6E8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Nositelé </w:t>
            </w:r>
            <w:r w:rsidR="00C37AA3" w:rsidRPr="00035913">
              <w:rPr>
                <w:rFonts w:eastAsia="Times New Roman" w:cs="Tahoma"/>
                <w:sz w:val="20"/>
                <w:szCs w:val="20"/>
                <w:lang w:eastAsia="cs-CZ"/>
              </w:rPr>
              <w:t>průkazu ZTP</w:t>
            </w: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, důchodci nad 70 let, děti ve věku</w:t>
            </w:r>
            <w:r w:rsidR="00C37AA3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do 2. třídy ZŠ,</w:t>
            </w: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zaměstnanci knihovny</w:t>
            </w:r>
          </w:p>
        </w:tc>
        <w:tc>
          <w:tcPr>
            <w:tcW w:w="2243" w:type="dxa"/>
            <w:shd w:val="clear" w:color="auto" w:fill="FFFFFF"/>
            <w:noWrap/>
            <w:vAlign w:val="center"/>
            <w:hideMark/>
          </w:tcPr>
          <w:p w14:paraId="4232C434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0 Kč</w:t>
            </w:r>
          </w:p>
        </w:tc>
      </w:tr>
    </w:tbl>
    <w:p w14:paraId="652DECF2" w14:textId="7A449618" w:rsidR="00E736E6" w:rsidRPr="00035913" w:rsidRDefault="00035913">
      <w:pPr>
        <w:rPr>
          <w:b/>
          <w:bCs/>
          <w:sz w:val="28"/>
          <w:szCs w:val="28"/>
        </w:rPr>
      </w:pPr>
      <w:r w:rsidRPr="00035913">
        <w:rPr>
          <w:b/>
          <w:bCs/>
          <w:sz w:val="28"/>
          <w:szCs w:val="28"/>
        </w:rPr>
        <w:t>Další poplatky:</w:t>
      </w:r>
    </w:p>
    <w:tbl>
      <w:tblPr>
        <w:tblW w:w="9631" w:type="dxa"/>
        <w:tblCellSpacing w:w="0" w:type="dxa"/>
        <w:tblBorders>
          <w:top w:val="single" w:sz="6" w:space="0" w:color="E4E4CB"/>
          <w:left w:val="single" w:sz="6" w:space="0" w:color="E4E4CB"/>
          <w:bottom w:val="single" w:sz="6" w:space="0" w:color="E4E4CB"/>
          <w:right w:val="single" w:sz="6" w:space="0" w:color="E4E4CB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6"/>
        <w:gridCol w:w="8331"/>
      </w:tblGrid>
      <w:tr w:rsidR="00F85311" w:rsidRPr="00F85311" w14:paraId="41047EAE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0702861" w14:textId="38EA4844" w:rsidR="00F85311" w:rsidRPr="00F85311" w:rsidRDefault="00F85311" w:rsidP="00F85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8316" w:type="dxa"/>
            <w:shd w:val="clear" w:color="auto" w:fill="FFFFFF"/>
            <w:noWrap/>
            <w:vAlign w:val="center"/>
          </w:tcPr>
          <w:p w14:paraId="29C9E28A" w14:textId="66D5F379" w:rsidR="00F85311" w:rsidRPr="00F85311" w:rsidRDefault="00F85311" w:rsidP="00F853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</w:tr>
      <w:tr w:rsidR="00F85311" w:rsidRPr="00035913" w14:paraId="54A25DF6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647CBC0A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Poškození nebo ztráta obalu knihy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2046BBE1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10 Kč</w:t>
            </w:r>
          </w:p>
        </w:tc>
      </w:tr>
      <w:tr w:rsidR="00F85311" w:rsidRPr="00035913" w14:paraId="6810A0E3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FB7B2F" w14:textId="0EE33458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11B1AB98" w14:textId="3D5BCD11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</w:p>
        </w:tc>
      </w:tr>
      <w:tr w:rsidR="00F85311" w:rsidRPr="00035913" w14:paraId="18E75F8C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55819A95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Poškození </w:t>
            </w:r>
            <w:r w:rsidR="00035913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knihy </w:t>
            </w:r>
          </w:p>
          <w:p w14:paraId="60F906EB" w14:textId="2C37032D" w:rsidR="00035913" w:rsidRPr="00035913" w:rsidRDefault="00035913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4C8B5923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Částku stanoví pracovník knihovny</w:t>
            </w:r>
          </w:p>
        </w:tc>
      </w:tr>
      <w:tr w:rsidR="00F85311" w:rsidRPr="00035913" w14:paraId="2B94B99C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492A70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Celkové poškození, případně ztráta knihy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34EE0DD0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Pořizovací cena + 50 Kč za knih. </w:t>
            </w:r>
            <w:proofErr w:type="spellStart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zprac</w:t>
            </w:r>
            <w:proofErr w:type="spellEnd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.</w:t>
            </w:r>
          </w:p>
        </w:tc>
      </w:tr>
      <w:tr w:rsidR="00F85311" w:rsidRPr="00035913" w14:paraId="54A65EA2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03A14F5F" w14:textId="67A0D9F7" w:rsidR="00F85311" w:rsidRPr="00035913" w:rsidRDefault="00F94F38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Náhrada – stejné</w:t>
            </w:r>
            <w:r w:rsidR="00F85311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dílo (stejný rok vydání)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5E6E9DBE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Zhotovení kopie nebo zaplacení částky ve výši ceny knihy</w:t>
            </w:r>
          </w:p>
        </w:tc>
      </w:tr>
      <w:tr w:rsidR="00F85311" w:rsidRPr="00035913" w14:paraId="0260466C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895A2D" w14:textId="69E9018D" w:rsidR="00F85311" w:rsidRPr="00035913" w:rsidRDefault="00F94F38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Náhrada – stejné</w:t>
            </w:r>
            <w:r w:rsidR="00F85311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dílo (stejný rok vydání)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69552458" w14:textId="57192EA5" w:rsidR="00F85311" w:rsidRPr="00035913" w:rsidRDefault="00386D9E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>
              <w:rPr>
                <w:rFonts w:eastAsia="Times New Roman" w:cs="Tahoma"/>
                <w:sz w:val="20"/>
                <w:szCs w:val="20"/>
                <w:lang w:eastAsia="cs-CZ"/>
              </w:rPr>
              <w:t>U</w:t>
            </w:r>
            <w:r w:rsidR="00F85311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knih vydaných do r. 1992 pětinásobek </w:t>
            </w:r>
            <w:proofErr w:type="spellStart"/>
            <w:r w:rsidR="00F85311" w:rsidRPr="00035913">
              <w:rPr>
                <w:rFonts w:eastAsia="Times New Roman" w:cs="Tahoma"/>
                <w:sz w:val="20"/>
                <w:szCs w:val="20"/>
                <w:lang w:eastAsia="cs-CZ"/>
              </w:rPr>
              <w:t>poř</w:t>
            </w:r>
            <w:proofErr w:type="spellEnd"/>
            <w:r w:rsidR="00F85311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. ceny + 50 Kč za knih. </w:t>
            </w:r>
            <w:proofErr w:type="spellStart"/>
            <w:r w:rsidR="00F85311" w:rsidRPr="00035913">
              <w:rPr>
                <w:rFonts w:eastAsia="Times New Roman" w:cs="Tahoma"/>
                <w:sz w:val="20"/>
                <w:szCs w:val="20"/>
                <w:lang w:eastAsia="cs-CZ"/>
              </w:rPr>
              <w:t>zprac</w:t>
            </w:r>
            <w:proofErr w:type="spellEnd"/>
            <w:r w:rsidR="00F85311" w:rsidRPr="00035913">
              <w:rPr>
                <w:rFonts w:eastAsia="Times New Roman" w:cs="Tahoma"/>
                <w:sz w:val="20"/>
                <w:szCs w:val="20"/>
                <w:lang w:eastAsia="cs-CZ"/>
              </w:rPr>
              <w:t>.</w:t>
            </w:r>
          </w:p>
        </w:tc>
      </w:tr>
      <w:tr w:rsidR="00F85311" w:rsidRPr="00035913" w14:paraId="3A866D8C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427A59C7" w14:textId="70D09308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Poškození </w:t>
            </w:r>
            <w:r w:rsidR="00F94F38" w:rsidRPr="00035913">
              <w:rPr>
                <w:rFonts w:eastAsia="Times New Roman" w:cs="Tahoma"/>
                <w:sz w:val="20"/>
                <w:szCs w:val="20"/>
                <w:lang w:eastAsia="cs-CZ"/>
              </w:rPr>
              <w:t>periodika – úhrada</w:t>
            </w: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podle rozsahu poškození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6AD2F824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Částku stanoví pracovník knihovny</w:t>
            </w:r>
          </w:p>
        </w:tc>
      </w:tr>
      <w:tr w:rsidR="00F85311" w:rsidRPr="00035913" w14:paraId="68B28D50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256010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Ztráta periodika aktuálního ročníku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7EE3153C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Náhrada stejným titulem a číslem + 20 Kč za knih. </w:t>
            </w:r>
            <w:proofErr w:type="spellStart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zprac</w:t>
            </w:r>
            <w:proofErr w:type="spellEnd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.</w:t>
            </w:r>
          </w:p>
        </w:tc>
      </w:tr>
      <w:tr w:rsidR="00F85311" w:rsidRPr="00035913" w14:paraId="5ECED0A3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24E43345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Ztráta periodika aktuálního ročníku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618FA58C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Dvojnásobek pořizovací ceny + 20 Kč za knih. </w:t>
            </w:r>
            <w:proofErr w:type="spellStart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zprac</w:t>
            </w:r>
            <w:proofErr w:type="spellEnd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.</w:t>
            </w:r>
          </w:p>
        </w:tc>
      </w:tr>
      <w:tr w:rsidR="00F85311" w:rsidRPr="00035913" w14:paraId="72B9ADB3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26E2D1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Ztráta periodika staršího ročníku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51D85174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Pořizovací cena + 20 Kč za knih. </w:t>
            </w:r>
            <w:proofErr w:type="spellStart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zprac</w:t>
            </w:r>
            <w:proofErr w:type="spellEnd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.</w:t>
            </w:r>
          </w:p>
        </w:tc>
      </w:tr>
      <w:tr w:rsidR="00F85311" w:rsidRPr="00035913" w14:paraId="7A7D3D25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58498EB5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Ztráta nebo poškození CD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18F49823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Náhrada stejným titulem + 50 Kč za knih. </w:t>
            </w:r>
            <w:proofErr w:type="spellStart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zprac</w:t>
            </w:r>
            <w:proofErr w:type="spellEnd"/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.</w:t>
            </w:r>
          </w:p>
        </w:tc>
      </w:tr>
      <w:tr w:rsidR="00F85311" w:rsidRPr="00035913" w14:paraId="46374FE3" w14:textId="77777777" w:rsidTr="00035913">
        <w:trPr>
          <w:trHeight w:val="300"/>
          <w:tblCellSpacing w:w="0" w:type="dxa"/>
        </w:trPr>
        <w:tc>
          <w:tcPr>
            <w:tcW w:w="9631" w:type="dxa"/>
            <w:gridSpan w:val="2"/>
            <w:tcBorders>
              <w:bottom w:val="single" w:sz="6" w:space="0" w:color="000000"/>
            </w:tcBorders>
            <w:shd w:val="clear" w:color="auto" w:fill="ECEED2"/>
            <w:vAlign w:val="center"/>
            <w:hideMark/>
          </w:tcPr>
          <w:p w14:paraId="6DDBFDF2" w14:textId="77777777" w:rsidR="00035913" w:rsidRPr="00035913" w:rsidRDefault="00035913" w:rsidP="00F85311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5D9F921" w14:textId="6D0EDA5C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5913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Upomínky</w:t>
            </w:r>
          </w:p>
        </w:tc>
      </w:tr>
      <w:tr w:rsidR="00F85311" w:rsidRPr="00035913" w14:paraId="558E187F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09CB1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lastRenderedPageBreak/>
              <w:t>1. upomínka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59881B59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20 Kč + poštovné u tištěných upomínek</w:t>
            </w:r>
          </w:p>
        </w:tc>
      </w:tr>
      <w:tr w:rsidR="00F85311" w:rsidRPr="00035913" w14:paraId="2D537BFF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474EA0F2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2. upomínka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2E813177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40 Kč + poštovné u tištěných upomínek</w:t>
            </w:r>
          </w:p>
        </w:tc>
      </w:tr>
      <w:tr w:rsidR="00F85311" w:rsidRPr="00035913" w14:paraId="094667C1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8B056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3. upomínka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0C21D71F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60 Kč + poštovné u tištěných upomínek</w:t>
            </w:r>
          </w:p>
        </w:tc>
      </w:tr>
      <w:tr w:rsidR="00F85311" w:rsidRPr="00035913" w14:paraId="400E05ED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6D070006" w14:textId="4BA5E0CC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4. upomínka</w:t>
            </w:r>
            <w:r w:rsidR="00F94F38" w:rsidRP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+ dopis starosty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4098C6C3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80 Kč + poštovné u tištěných upomínek</w:t>
            </w:r>
          </w:p>
        </w:tc>
      </w:tr>
      <w:tr w:rsidR="00F85311" w:rsidRPr="00035913" w14:paraId="25431D45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061BD4" w14:textId="4F3AEA0A" w:rsidR="00F85311" w:rsidRPr="0052323C" w:rsidRDefault="00F85311" w:rsidP="00F85311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cs-CZ"/>
              </w:rPr>
            </w:pPr>
          </w:p>
        </w:tc>
        <w:tc>
          <w:tcPr>
            <w:tcW w:w="8316" w:type="dxa"/>
            <w:shd w:val="clear" w:color="auto" w:fill="FFFFFF"/>
            <w:noWrap/>
            <w:vAlign w:val="center"/>
          </w:tcPr>
          <w:p w14:paraId="06667FD7" w14:textId="2231666A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</w:p>
        </w:tc>
      </w:tr>
      <w:tr w:rsidR="00F85311" w:rsidRPr="00035913" w14:paraId="1F280AFE" w14:textId="77777777" w:rsidTr="00035913">
        <w:trPr>
          <w:trHeight w:val="300"/>
          <w:tblCellSpacing w:w="0" w:type="dxa"/>
        </w:trPr>
        <w:tc>
          <w:tcPr>
            <w:tcW w:w="9631" w:type="dxa"/>
            <w:gridSpan w:val="2"/>
            <w:tcBorders>
              <w:bottom w:val="single" w:sz="6" w:space="0" w:color="000000"/>
            </w:tcBorders>
            <w:shd w:val="clear" w:color="auto" w:fill="ECEED2"/>
            <w:vAlign w:val="center"/>
            <w:hideMark/>
          </w:tcPr>
          <w:p w14:paraId="5AC3A89A" w14:textId="77777777" w:rsidR="00F85311" w:rsidRPr="0052323C" w:rsidRDefault="00F85311" w:rsidP="00F85311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2323C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cs-CZ"/>
              </w:rPr>
              <w:t>Internet a použití počítače</w:t>
            </w:r>
          </w:p>
        </w:tc>
      </w:tr>
      <w:tr w:rsidR="00F85311" w:rsidRPr="00035913" w14:paraId="5001B9E8" w14:textId="77777777" w:rsidTr="00035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B6C56" w14:textId="77777777" w:rsidR="00035913" w:rsidRDefault="00035913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</w:p>
          <w:p w14:paraId="5E3A6D17" w14:textId="63AA249C" w:rsidR="00F85311" w:rsidRPr="00035913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Internet pro</w:t>
            </w:r>
            <w:r w:rsidR="00035913">
              <w:rPr>
                <w:rFonts w:eastAsia="Times New Roman" w:cs="Tahoma"/>
                <w:sz w:val="20"/>
                <w:szCs w:val="20"/>
                <w:lang w:eastAsia="cs-CZ"/>
              </w:rPr>
              <w:t xml:space="preserve"> </w:t>
            </w: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registrované uživatele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0277FBC1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0 Kč</w:t>
            </w:r>
          </w:p>
        </w:tc>
      </w:tr>
      <w:tr w:rsidR="00F85311" w:rsidRPr="00035913" w14:paraId="1F3D3CE3" w14:textId="77777777" w:rsidTr="00035913">
        <w:trPr>
          <w:tblCellSpacing w:w="0" w:type="dxa"/>
        </w:trPr>
        <w:tc>
          <w:tcPr>
            <w:tcW w:w="0" w:type="auto"/>
            <w:shd w:val="clear" w:color="auto" w:fill="F8F8EF"/>
            <w:vAlign w:val="center"/>
            <w:hideMark/>
          </w:tcPr>
          <w:p w14:paraId="60CD3CC7" w14:textId="2DFA9C45" w:rsidR="00F85311" w:rsidRDefault="00F85311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Internet pro neregistrované uživatele</w:t>
            </w:r>
          </w:p>
          <w:p w14:paraId="0249C8D4" w14:textId="77777777" w:rsidR="00035913" w:rsidRPr="00035913" w:rsidRDefault="00035913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</w:p>
          <w:p w14:paraId="6D45EC39" w14:textId="7A8F26B7" w:rsidR="00035913" w:rsidRPr="00035913" w:rsidRDefault="00035913" w:rsidP="00F8531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cs-CZ"/>
              </w:rPr>
            </w:pP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2E84299D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ahoma"/>
                <w:sz w:val="20"/>
                <w:szCs w:val="20"/>
                <w:lang w:eastAsia="cs-CZ"/>
              </w:rPr>
              <w:t>30 minut zdarma, poté 1 Kč za 1 minutu</w:t>
            </w:r>
          </w:p>
        </w:tc>
      </w:tr>
      <w:tr w:rsidR="00F85311" w:rsidRPr="00035913" w14:paraId="7D21127C" w14:textId="77777777" w:rsidTr="00035913">
        <w:tblPrEx>
          <w:jc w:val="center"/>
          <w:shd w:val="clear" w:color="auto" w:fill="auto"/>
        </w:tblPrEx>
        <w:trPr>
          <w:trHeight w:val="300"/>
          <w:tblCellSpacing w:w="0" w:type="dxa"/>
          <w:jc w:val="center"/>
        </w:trPr>
        <w:tc>
          <w:tcPr>
            <w:tcW w:w="9631" w:type="dxa"/>
            <w:gridSpan w:val="2"/>
            <w:tcBorders>
              <w:bottom w:val="single" w:sz="6" w:space="0" w:color="000000"/>
            </w:tcBorders>
            <w:shd w:val="clear" w:color="auto" w:fill="ECEED2"/>
            <w:vAlign w:val="center"/>
            <w:hideMark/>
          </w:tcPr>
          <w:p w14:paraId="561BA1F5" w14:textId="67AF62DE" w:rsidR="00F85311" w:rsidRPr="0052323C" w:rsidRDefault="00F85311" w:rsidP="00F853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232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Ostatní</w:t>
            </w:r>
            <w:r w:rsidR="0052323C" w:rsidRPr="005232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zpoplatněné služby</w:t>
            </w:r>
          </w:p>
        </w:tc>
      </w:tr>
      <w:tr w:rsidR="00F85311" w:rsidRPr="00035913" w14:paraId="7026AD76" w14:textId="77777777" w:rsidTr="00035913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5C4EAFB" w14:textId="77777777" w:rsidR="00035913" w:rsidRPr="00035913" w:rsidRDefault="00035913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78CF211F" w14:textId="04C8C89D" w:rsidR="00F85311" w:rsidRPr="00035913" w:rsidRDefault="00F85311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sz w:val="20"/>
                <w:szCs w:val="20"/>
                <w:lang w:eastAsia="cs-CZ"/>
              </w:rPr>
              <w:t>Tisk z vlastních zdrojů uživatele - 1 strana A4 černobíle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3D3688B0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sz w:val="20"/>
                <w:szCs w:val="20"/>
                <w:lang w:eastAsia="cs-CZ"/>
              </w:rPr>
              <w:t>2 Kč</w:t>
            </w:r>
          </w:p>
        </w:tc>
      </w:tr>
      <w:tr w:rsidR="00F85311" w:rsidRPr="00035913" w14:paraId="62DD7BDC" w14:textId="77777777" w:rsidTr="00035913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F8F8EF"/>
            <w:vAlign w:val="center"/>
          </w:tcPr>
          <w:p w14:paraId="16D98CCB" w14:textId="5FDE5725" w:rsidR="00F85311" w:rsidRPr="00035913" w:rsidRDefault="00F85311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6" w:type="dxa"/>
            <w:shd w:val="clear" w:color="auto" w:fill="F8F8EF"/>
            <w:noWrap/>
            <w:vAlign w:val="center"/>
          </w:tcPr>
          <w:p w14:paraId="32FB0437" w14:textId="61D913ED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311" w:rsidRPr="00035913" w14:paraId="31544B84" w14:textId="77777777" w:rsidTr="00035913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58481" w14:textId="6FC1FD6E" w:rsidR="00F85311" w:rsidRPr="00035913" w:rsidRDefault="00F85311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3119440C" w14:textId="08145871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311" w:rsidRPr="00035913" w14:paraId="68E66EDA" w14:textId="77777777" w:rsidTr="00035913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F8F8EF"/>
            <w:vAlign w:val="center"/>
            <w:hideMark/>
          </w:tcPr>
          <w:p w14:paraId="09E1C18D" w14:textId="77777777" w:rsidR="00F85311" w:rsidRPr="00035913" w:rsidRDefault="00F85311" w:rsidP="00F8531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Vyřízený požadavek prostřednictvím meziknihovní výpůjční služby</w:t>
            </w:r>
          </w:p>
        </w:tc>
        <w:tc>
          <w:tcPr>
            <w:tcW w:w="8316" w:type="dxa"/>
            <w:shd w:val="clear" w:color="auto" w:fill="F8F8EF"/>
            <w:noWrap/>
            <w:vAlign w:val="center"/>
            <w:hideMark/>
          </w:tcPr>
          <w:p w14:paraId="34CAF359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sz w:val="20"/>
                <w:szCs w:val="20"/>
                <w:lang w:eastAsia="cs-CZ"/>
              </w:rPr>
              <w:t>50 Kč</w:t>
            </w:r>
          </w:p>
        </w:tc>
      </w:tr>
      <w:tr w:rsidR="00F85311" w:rsidRPr="00035913" w14:paraId="4AF5291A" w14:textId="77777777" w:rsidTr="00035913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76DA61" w14:textId="77777777" w:rsidR="00035913" w:rsidRPr="00035913" w:rsidRDefault="00035913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14:paraId="6B379302" w14:textId="0E775EA7" w:rsidR="00F85311" w:rsidRPr="00035913" w:rsidRDefault="00F85311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sz w:val="20"/>
                <w:szCs w:val="20"/>
                <w:lang w:eastAsia="cs-CZ"/>
              </w:rPr>
              <w:t>Vyřízený požadavek prostřednictvím mezinárodní meziknihovní výpůjční služby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4E0FB08E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sz w:val="20"/>
                <w:szCs w:val="20"/>
                <w:lang w:eastAsia="cs-CZ"/>
              </w:rPr>
              <w:t>Dle aktuálních podmínek Národní knihovny v Praze</w:t>
            </w:r>
          </w:p>
        </w:tc>
      </w:tr>
      <w:tr w:rsidR="00F85311" w:rsidRPr="00035913" w14:paraId="4D9DBACD" w14:textId="77777777" w:rsidTr="00035913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F8F8EF"/>
            <w:vAlign w:val="center"/>
          </w:tcPr>
          <w:p w14:paraId="3A36AB67" w14:textId="5E976D96" w:rsidR="00F85311" w:rsidRPr="00035913" w:rsidRDefault="00F85311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6" w:type="dxa"/>
            <w:shd w:val="clear" w:color="auto" w:fill="F8F8EF"/>
            <w:noWrap/>
            <w:vAlign w:val="center"/>
          </w:tcPr>
          <w:p w14:paraId="5E5A69E7" w14:textId="0F9191EA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F85311" w:rsidRPr="00035913" w14:paraId="73287CB2" w14:textId="77777777" w:rsidTr="00035913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143C4A" w14:textId="74130157" w:rsidR="00F85311" w:rsidRPr="00035913" w:rsidRDefault="00F85311" w:rsidP="00F853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sz w:val="20"/>
                <w:szCs w:val="20"/>
                <w:lang w:eastAsia="cs-CZ"/>
              </w:rPr>
              <w:t>Rezervace knihy prostřednictvím e-mailu nebo SMS</w:t>
            </w:r>
          </w:p>
        </w:tc>
        <w:tc>
          <w:tcPr>
            <w:tcW w:w="8316" w:type="dxa"/>
            <w:shd w:val="clear" w:color="auto" w:fill="FFFFFF"/>
            <w:noWrap/>
            <w:vAlign w:val="center"/>
            <w:hideMark/>
          </w:tcPr>
          <w:p w14:paraId="1E59B95A" w14:textId="77777777" w:rsidR="00F85311" w:rsidRPr="00035913" w:rsidRDefault="00F85311" w:rsidP="00F8531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35913">
              <w:rPr>
                <w:rFonts w:eastAsia="Times New Roman" w:cs="Times New Roman"/>
                <w:sz w:val="20"/>
                <w:szCs w:val="20"/>
                <w:lang w:eastAsia="cs-CZ"/>
              </w:rPr>
              <w:t>0 Kč</w:t>
            </w:r>
          </w:p>
        </w:tc>
      </w:tr>
    </w:tbl>
    <w:p w14:paraId="7344B20C" w14:textId="77777777" w:rsidR="00F85311" w:rsidRPr="00035913" w:rsidRDefault="00F85311" w:rsidP="00F85311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0"/>
          <w:szCs w:val="20"/>
          <w:lang w:eastAsia="cs-CZ"/>
        </w:rPr>
      </w:pPr>
    </w:p>
    <w:p w14:paraId="3591AF96" w14:textId="182764B6" w:rsidR="00D56EF5" w:rsidRPr="00035913" w:rsidRDefault="00D56EF5" w:rsidP="00F85311">
      <w:pPr>
        <w:rPr>
          <w:rFonts w:eastAsia="Times New Roman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6244AD56" w14:textId="77777777" w:rsidR="00D56EF5" w:rsidRPr="00035913" w:rsidRDefault="00D56EF5" w:rsidP="00F85311">
      <w:pPr>
        <w:rPr>
          <w:rFonts w:eastAsia="Times New Roman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6AA526DE" w14:textId="3A632C06" w:rsidR="00F85311" w:rsidRPr="0052323C" w:rsidRDefault="00D56EF5" w:rsidP="00F85311">
      <w:pPr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</w:pP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>T</w:t>
      </w:r>
      <w:r w:rsidR="00F85311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 xml:space="preserve">ento ceník je platný od 1. </w:t>
      </w:r>
      <w:r w:rsidR="00C37AA3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>10</w:t>
      </w:r>
      <w:r w:rsidR="00F85311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>. 201</w:t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>9</w:t>
      </w:r>
      <w:r w:rsidR="00035913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="00035913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="00035913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="00035913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="00035913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="00035913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>Libuše Semecká,</w:t>
      </w:r>
      <w:r w:rsidR="0052323C"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 xml:space="preserve"> v. r. </w:t>
      </w:r>
    </w:p>
    <w:p w14:paraId="69E93AA6" w14:textId="70DBAB32" w:rsidR="0052323C" w:rsidRPr="0052323C" w:rsidRDefault="0052323C" w:rsidP="00F85311">
      <w:pPr>
        <w:rPr>
          <w:sz w:val="18"/>
          <w:szCs w:val="18"/>
        </w:rPr>
      </w:pP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</w:r>
      <w:r w:rsidRPr="0052323C">
        <w:rPr>
          <w:rFonts w:eastAsia="Times New Roman" w:cs="Tahoma"/>
          <w:color w:val="000000"/>
          <w:sz w:val="18"/>
          <w:szCs w:val="18"/>
          <w:shd w:val="clear" w:color="auto" w:fill="FFFFFF"/>
          <w:lang w:eastAsia="cs-CZ"/>
        </w:rPr>
        <w:tab/>
        <w:t xml:space="preserve">       knihovnice</w:t>
      </w:r>
    </w:p>
    <w:sectPr w:rsidR="0052323C" w:rsidRPr="0052323C" w:rsidSect="00F9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E6"/>
    <w:rsid w:val="00035913"/>
    <w:rsid w:val="00386D9E"/>
    <w:rsid w:val="0052323C"/>
    <w:rsid w:val="00992AEA"/>
    <w:rsid w:val="009D564B"/>
    <w:rsid w:val="00C37AA3"/>
    <w:rsid w:val="00D56EF5"/>
    <w:rsid w:val="00E736E6"/>
    <w:rsid w:val="00F85311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0300"/>
  <w15:chartTrackingRefBased/>
  <w15:docId w15:val="{965A76A0-8587-4AEB-85BA-E271EAF6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3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32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00CD-B3D1-4660-B0B0-E3EA2FEA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Kájov</dc:creator>
  <cp:keywords/>
  <dc:description/>
  <cp:lastModifiedBy>Knihovna Kájov</cp:lastModifiedBy>
  <cp:revision>2</cp:revision>
  <cp:lastPrinted>2019-11-13T14:24:00Z</cp:lastPrinted>
  <dcterms:created xsi:type="dcterms:W3CDTF">2019-11-13T14:27:00Z</dcterms:created>
  <dcterms:modified xsi:type="dcterms:W3CDTF">2019-11-13T14:27:00Z</dcterms:modified>
</cp:coreProperties>
</file>